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bookmarkStart w:id="0" w:name="_GoBack"/>
      <w:bookmarkEnd w:id="0"/>
    </w:p>
    <w:p w:rsidR="00DA7514" w:rsidRPr="007E7488" w:rsidRDefault="00DA7514" w:rsidP="00565A8F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Default="006F456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565A8F" w:rsidRDefault="00565A8F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91A8C" w:rsidRDefault="00E91A8C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F47482" w:rsidRDefault="00F47482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1A0F2A" w:rsidRDefault="00492CE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15.11.2021 № </w:t>
      </w:r>
      <w:r w:rsidR="001A0F2A">
        <w:rPr>
          <w:sz w:val="24"/>
          <w:szCs w:val="24"/>
        </w:rPr>
        <w:t>255</w:t>
      </w:r>
    </w:p>
    <w:p w:rsidR="00B277F8" w:rsidRDefault="00B277F8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336</w:t>
      </w:r>
    </w:p>
    <w:p w:rsidR="00413CD0" w:rsidRDefault="00413CD0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04.03.2022 № 56</w:t>
      </w:r>
    </w:p>
    <w:p w:rsidR="00AC0B85" w:rsidRDefault="00AC0B8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31.03.2022 № 91</w:t>
      </w:r>
    </w:p>
    <w:p w:rsidR="00492CE1" w:rsidRPr="007E7488" w:rsidRDefault="00492CE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4565" w:rsidRPr="007E7488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эстетического вида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190ABB" w:rsidRPr="00190ABB" w:rsidRDefault="00B27801" w:rsidP="00190ABB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1.5.5. </w:t>
      </w:r>
      <w:r w:rsidR="00190ABB" w:rsidRPr="00190ABB">
        <w:rPr>
          <w:b/>
          <w:i/>
          <w:sz w:val="24"/>
          <w:szCs w:val="24"/>
        </w:rPr>
        <w:t>«</w:t>
      </w:r>
      <w:r w:rsidR="002D3386">
        <w:rPr>
          <w:b/>
          <w:i/>
          <w:sz w:val="24"/>
          <w:szCs w:val="24"/>
        </w:rPr>
        <w:t>Участие в Программе поддержки местных инициатив в 2022 году».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B277F8">
              <w:rPr>
                <w:sz w:val="24"/>
                <w:szCs w:val="24"/>
              </w:rPr>
              <w:t>472</w:t>
            </w:r>
            <w:r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01,00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F47482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472</w:t>
            </w:r>
            <w:r w:rsidR="00565A8F">
              <w:rPr>
                <w:sz w:val="24"/>
                <w:szCs w:val="24"/>
              </w:rPr>
              <w:t xml:space="preserve"> </w:t>
            </w:r>
            <w:r w:rsidR="00B277F8"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01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2D3BA7" w:rsidRPr="002D53DB" w:rsidRDefault="0029688E" w:rsidP="002968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01C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1701CA">
              <w:rPr>
                <w:sz w:val="24"/>
                <w:szCs w:val="24"/>
              </w:rPr>
              <w:t>79 </w:t>
            </w:r>
            <w:r>
              <w:rPr>
                <w:sz w:val="24"/>
                <w:szCs w:val="24"/>
              </w:rPr>
              <w:t>9</w:t>
            </w:r>
            <w:r w:rsidR="001701CA">
              <w:rPr>
                <w:sz w:val="24"/>
                <w:szCs w:val="24"/>
              </w:rPr>
              <w:t>53,00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9688E" w:rsidP="002968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01C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1701CA">
              <w:rPr>
                <w:sz w:val="24"/>
                <w:szCs w:val="24"/>
              </w:rPr>
              <w:t>79 </w:t>
            </w:r>
            <w:r>
              <w:rPr>
                <w:sz w:val="24"/>
                <w:szCs w:val="24"/>
              </w:rPr>
              <w:t>9</w:t>
            </w:r>
            <w:r w:rsidR="001701CA">
              <w:rPr>
                <w:sz w:val="24"/>
                <w:szCs w:val="24"/>
              </w:rPr>
              <w:t>53,00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5 151 733,00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5 151 733,00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5 001 920,00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5 001 920,00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1701CA" w:rsidP="002968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68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29688E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 </w:t>
            </w:r>
            <w:r w:rsidR="002968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1701CA" w:rsidP="002968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68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29688E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7 </w:t>
            </w:r>
            <w:r w:rsidR="002968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28,00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 xml:space="preserve">Рощинского сельского поселения </w:t>
      </w:r>
      <w:r w:rsidR="00DA7514" w:rsidRPr="005B03D7">
        <w:t xml:space="preserve">;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8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</w:t>
      </w:r>
      <w:r w:rsidRPr="00DA7514">
        <w:rPr>
          <w:sz w:val="24"/>
          <w:szCs w:val="24"/>
        </w:rPr>
        <w:lastRenderedPageBreak/>
        <w:t xml:space="preserve">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старовозрастность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r w:rsidR="00233C9B">
        <w:rPr>
          <w:sz w:val="24"/>
          <w:szCs w:val="24"/>
        </w:rPr>
        <w:t>акарицидная</w:t>
      </w:r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</w:t>
      </w:r>
      <w:r w:rsidRPr="00DA7514">
        <w:rPr>
          <w:sz w:val="24"/>
          <w:szCs w:val="24"/>
        </w:rPr>
        <w:lastRenderedPageBreak/>
        <w:t>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Выполнение мероприятий программы с начала ее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отношение выполненных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BA47AE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BA47AE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BA47AE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6.3. Оценка эффективности реализации муниципальных программ исчисляется в </w:t>
      </w:r>
      <w:r w:rsidRPr="002E21FA">
        <w:rPr>
          <w:sz w:val="24"/>
          <w:szCs w:val="24"/>
          <w:lang w:eastAsia="zh-CN"/>
        </w:rPr>
        <w:lastRenderedPageBreak/>
        <w:t>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2" w:name="Par418"/>
      <w:bookmarkEnd w:id="2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77F8">
              <w:rPr>
                <w:sz w:val="24"/>
                <w:szCs w:val="24"/>
              </w:rPr>
              <w:t>00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77F8">
              <w:rPr>
                <w:sz w:val="24"/>
                <w:szCs w:val="24"/>
              </w:rPr>
              <w:t>00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1D0378">
        <w:t>;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Pr="00743DDF">
        <w:t xml:space="preserve">.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lastRenderedPageBreak/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D3BA7" w:rsidRPr="002D53DB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B277F8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B277F8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75,00</w:t>
            </w:r>
          </w:p>
        </w:tc>
      </w:tr>
      <w:tr w:rsidR="002D3BA7" w:rsidRPr="002D53DB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2D3BA7" w:rsidRPr="002D53DB" w:rsidRDefault="00AC0B85" w:rsidP="00AC0B8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1 475</w:t>
            </w:r>
            <w:r w:rsidR="002D3B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2D3BA7">
              <w:rPr>
                <w:sz w:val="24"/>
                <w:szCs w:val="24"/>
              </w:rPr>
              <w:t>67,00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AC0B85" w:rsidP="00AC0B8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1 475</w:t>
            </w:r>
            <w:r w:rsidR="002D3B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2D3BA7">
              <w:rPr>
                <w:sz w:val="24"/>
                <w:szCs w:val="24"/>
              </w:rPr>
              <w:t>67,00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2D3BA7" w:rsidRPr="002E08AF" w:rsidRDefault="00B277F8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979 407,00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B277F8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979 407,00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2D3BA7" w:rsidRPr="002E08AF" w:rsidRDefault="00B277F8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829 594,00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B277F8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829 594,00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2D3BA7" w:rsidRPr="002D53DB" w:rsidTr="00C87302">
        <w:trPr>
          <w:trHeight w:val="278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AC0B8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AC0B85">
              <w:rPr>
                <w:sz w:val="24"/>
                <w:szCs w:val="24"/>
              </w:rPr>
              <w:t>976</w:t>
            </w:r>
            <w:r w:rsidR="00B277F8">
              <w:rPr>
                <w:sz w:val="24"/>
                <w:szCs w:val="24"/>
              </w:rPr>
              <w:t> </w:t>
            </w:r>
            <w:r w:rsidR="00AC0B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AC0B8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9</w:t>
            </w:r>
            <w:r w:rsidR="00AC0B85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 </w:t>
            </w:r>
            <w:r w:rsidR="00AC0B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 xml:space="preserve">Рощинского сельского поселения </w:t>
      </w:r>
      <w:r w:rsidR="00DA7514" w:rsidRPr="00F11798">
        <w:t>;</w:t>
      </w:r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5A239F">
        <w:t>;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="00DA7514" w:rsidRPr="00F11798">
        <w:rPr>
          <w:sz w:val="24"/>
          <w:szCs w:val="24"/>
        </w:rPr>
        <w:t>.</w:t>
      </w:r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B27801" w:rsidRPr="00190ABB" w:rsidRDefault="00B27801" w:rsidP="00B27801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AB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27801" w:rsidRPr="00190ABB" w:rsidRDefault="00B27801" w:rsidP="00B27801">
      <w:pPr>
        <w:suppressAutoHyphens/>
        <w:jc w:val="center"/>
        <w:rPr>
          <w:b/>
          <w:sz w:val="22"/>
          <w:szCs w:val="22"/>
        </w:rPr>
      </w:pPr>
      <w:r w:rsidRPr="00190ABB">
        <w:rPr>
          <w:b/>
          <w:sz w:val="24"/>
          <w:szCs w:val="24"/>
        </w:rPr>
        <w:t>подпрограммы « Участие в ППМИ</w:t>
      </w:r>
      <w:r w:rsidR="00190ABB" w:rsidRPr="00190ABB">
        <w:rPr>
          <w:b/>
          <w:sz w:val="24"/>
          <w:szCs w:val="24"/>
        </w:rPr>
        <w:t xml:space="preserve"> в 2022 году</w:t>
      </w:r>
      <w:r w:rsidRPr="00190ABB">
        <w:rPr>
          <w:b/>
          <w:sz w:val="24"/>
          <w:szCs w:val="24"/>
        </w:rPr>
        <w:t xml:space="preserve">» </w:t>
      </w:r>
      <w:r w:rsidRPr="00190ABB">
        <w:rPr>
          <w:b/>
          <w:sz w:val="22"/>
          <w:szCs w:val="22"/>
        </w:rPr>
        <w:t xml:space="preserve">муниципальной программы «Благоустройство территории Рощинского сельского поселения </w:t>
      </w:r>
    </w:p>
    <w:p w:rsidR="00B27801" w:rsidRDefault="00B27801" w:rsidP="00B27801">
      <w:pPr>
        <w:suppressAutoHyphens/>
        <w:jc w:val="center"/>
        <w:rPr>
          <w:b/>
          <w:sz w:val="24"/>
          <w:szCs w:val="24"/>
        </w:rPr>
      </w:pPr>
      <w:r w:rsidRPr="00190ABB">
        <w:rPr>
          <w:b/>
          <w:sz w:val="22"/>
          <w:szCs w:val="22"/>
        </w:rPr>
        <w:t>в 2021-2025 годах</w:t>
      </w:r>
      <w:r w:rsidRPr="00190ABB">
        <w:rPr>
          <w:b/>
          <w:sz w:val="24"/>
          <w:szCs w:val="24"/>
        </w:rPr>
        <w:t>»</w:t>
      </w:r>
    </w:p>
    <w:p w:rsidR="00B27801" w:rsidRDefault="00B27801" w:rsidP="00B27801">
      <w:pPr>
        <w:suppressAutoHyphens/>
        <w:rPr>
          <w:b/>
          <w:sz w:val="24"/>
          <w:szCs w:val="24"/>
        </w:rPr>
      </w:pPr>
    </w:p>
    <w:p w:rsidR="00B27801" w:rsidRPr="005B03D7" w:rsidRDefault="00B27801" w:rsidP="00B27801">
      <w:pPr>
        <w:pStyle w:val="af2"/>
        <w:numPr>
          <w:ilvl w:val="0"/>
          <w:numId w:val="23"/>
        </w:numPr>
        <w:suppressAutoHyphens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190ABB" w:rsidRDefault="00190ABB" w:rsidP="00190ABB">
      <w:pPr>
        <w:ind w:right="85" w:firstLine="142"/>
      </w:pPr>
      <w:r w:rsidRPr="00190AB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27801" w:rsidRPr="00190ABB">
        <w:rPr>
          <w:sz w:val="24"/>
          <w:szCs w:val="24"/>
        </w:rPr>
        <w:t>Задачи подпрограммы:</w:t>
      </w:r>
      <w:r w:rsidR="00B27801">
        <w:t xml:space="preserve"> </w:t>
      </w:r>
      <w:r>
        <w:t>Р</w:t>
      </w:r>
      <w:r w:rsidRPr="00190ABB">
        <w:rPr>
          <w:sz w:val="24"/>
          <w:szCs w:val="24"/>
        </w:rPr>
        <w:t>емонт</w:t>
      </w:r>
      <w:r>
        <w:rPr>
          <w:sz w:val="24"/>
          <w:szCs w:val="24"/>
        </w:rPr>
        <w:t xml:space="preserve"> фасада и устройство подвесных потолков</w:t>
      </w:r>
      <w:r w:rsidRPr="00190ABB">
        <w:rPr>
          <w:sz w:val="24"/>
          <w:szCs w:val="24"/>
        </w:rPr>
        <w:t xml:space="preserve"> Шуйского сельского дома культуры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по адресу: Новгородская область, Валдайский район д. Шуя д. 59</w:t>
      </w:r>
      <w:r>
        <w:rPr>
          <w:sz w:val="24"/>
          <w:szCs w:val="24"/>
        </w:rPr>
        <w:t>.</w:t>
      </w:r>
    </w:p>
    <w:p w:rsidR="00B27801" w:rsidRPr="005B03D7" w:rsidRDefault="00190ABB" w:rsidP="00190ABB">
      <w:pPr>
        <w:pStyle w:val="af2"/>
        <w:suppressAutoHyphens/>
        <w:jc w:val="both"/>
      </w:pPr>
      <w:r>
        <w:t xml:space="preserve">   3.</w:t>
      </w:r>
      <w:r w:rsidR="00B27801" w:rsidRPr="005B03D7">
        <w:t>Сроки реализации подпрограммы:</w:t>
      </w:r>
      <w:r w:rsidR="00B27801">
        <w:t xml:space="preserve"> 2022 год.</w:t>
      </w:r>
    </w:p>
    <w:p w:rsidR="00B27801" w:rsidRDefault="00190ABB" w:rsidP="00190ABB">
      <w:pPr>
        <w:pStyle w:val="af2"/>
        <w:suppressAutoHyphens/>
        <w:ind w:left="142"/>
        <w:jc w:val="both"/>
      </w:pPr>
      <w:r>
        <w:t>4.О</w:t>
      </w:r>
      <w:r w:rsidR="00B27801" w:rsidRPr="005B03D7">
        <w:t>бъемы и источники финансирования подпрограммы с разбивкой по годам реализации:</w:t>
      </w:r>
    </w:p>
    <w:p w:rsidR="00B27801" w:rsidRDefault="00190ABB" w:rsidP="00190ABB">
      <w:pPr>
        <w:pStyle w:val="af2"/>
        <w:suppressAutoHyphens/>
        <w:jc w:val="both"/>
      </w:pPr>
      <w:r>
        <w:t xml:space="preserve">   5.Внебюджетные средства включают в себя финансовый вклад населения и субъектов малого бизнеса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B27801" w:rsidRPr="002D53DB" w:rsidTr="00190ABB">
        <w:trPr>
          <w:trHeight w:val="264"/>
        </w:trPr>
        <w:tc>
          <w:tcPr>
            <w:tcW w:w="917" w:type="dxa"/>
            <w:vMerge w:val="restart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27801" w:rsidRPr="002D53DB" w:rsidTr="00190ABB">
        <w:trPr>
          <w:trHeight w:val="141"/>
        </w:trPr>
        <w:tc>
          <w:tcPr>
            <w:tcW w:w="917" w:type="dxa"/>
            <w:vMerge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B27801" w:rsidRPr="002D53DB" w:rsidTr="00190ABB">
        <w:trPr>
          <w:trHeight w:val="264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1701CA" w:rsidRPr="002D53DB" w:rsidRDefault="001701CA" w:rsidP="001701C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D53DB" w:rsidTr="00190ABB">
        <w:trPr>
          <w:trHeight w:val="264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B27801" w:rsidRPr="002D53DB" w:rsidRDefault="001701CA" w:rsidP="001701C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194 460,00</w:t>
            </w:r>
          </w:p>
        </w:tc>
        <w:tc>
          <w:tcPr>
            <w:tcW w:w="1417" w:type="dxa"/>
            <w:vAlign w:val="center"/>
          </w:tcPr>
          <w:p w:rsidR="00413CD0" w:rsidRPr="001701CA" w:rsidRDefault="00AC0B85" w:rsidP="00413CD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</w:t>
            </w:r>
            <w:r w:rsidR="00413C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B27801" w:rsidRPr="002D53DB" w:rsidRDefault="00AC0B85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701CA">
              <w:rPr>
                <w:sz w:val="24"/>
                <w:szCs w:val="24"/>
              </w:rPr>
              <w:t>331 660,00</w:t>
            </w:r>
          </w:p>
        </w:tc>
      </w:tr>
      <w:tr w:rsidR="00B27801" w:rsidRPr="002E08AF" w:rsidTr="001701CA">
        <w:trPr>
          <w:trHeight w:val="286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52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E08AF" w:rsidTr="00190ABB">
        <w:trPr>
          <w:trHeight w:val="264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E08AF" w:rsidRDefault="002D3386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E08AF" w:rsidTr="00190ABB">
        <w:trPr>
          <w:trHeight w:val="264"/>
        </w:trPr>
        <w:tc>
          <w:tcPr>
            <w:tcW w:w="917" w:type="dxa"/>
            <w:vAlign w:val="center"/>
          </w:tcPr>
          <w:p w:rsidR="00B27801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E08AF" w:rsidRDefault="002D3386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D53DB" w:rsidTr="00190ABB">
        <w:trPr>
          <w:trHeight w:val="278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194 460,00</w:t>
            </w:r>
          </w:p>
        </w:tc>
        <w:tc>
          <w:tcPr>
            <w:tcW w:w="1417" w:type="dxa"/>
            <w:vAlign w:val="center"/>
          </w:tcPr>
          <w:p w:rsidR="00B27801" w:rsidRPr="002D53DB" w:rsidRDefault="00AC0B85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</w:t>
            </w:r>
            <w:r w:rsidR="00413C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B27801" w:rsidRPr="002D53DB" w:rsidRDefault="00AC0B85" w:rsidP="002D3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D3386">
              <w:rPr>
                <w:sz w:val="24"/>
                <w:szCs w:val="24"/>
              </w:rPr>
              <w:t>331</w:t>
            </w:r>
            <w:r w:rsidR="00B27801">
              <w:rPr>
                <w:sz w:val="24"/>
                <w:szCs w:val="24"/>
              </w:rPr>
              <w:t> </w:t>
            </w:r>
            <w:r w:rsidR="002D3386">
              <w:rPr>
                <w:sz w:val="24"/>
                <w:szCs w:val="24"/>
              </w:rPr>
              <w:t>66</w:t>
            </w:r>
            <w:r w:rsidR="00B27801">
              <w:rPr>
                <w:sz w:val="24"/>
                <w:szCs w:val="24"/>
              </w:rPr>
              <w:t>0,00</w:t>
            </w:r>
          </w:p>
        </w:tc>
      </w:tr>
    </w:tbl>
    <w:p w:rsidR="00B27801" w:rsidRPr="005A1CF8" w:rsidRDefault="00B27801" w:rsidP="00190ABB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B27801" w:rsidRPr="00F11798" w:rsidRDefault="00B27801" w:rsidP="00B27801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 xml:space="preserve">Рощинского сельского поселения </w:t>
      </w:r>
      <w:r w:rsidRPr="00F11798">
        <w:t>;</w:t>
      </w:r>
    </w:p>
    <w:p w:rsidR="00B27801" w:rsidRDefault="00B27801" w:rsidP="00B27801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 ;</w:t>
      </w:r>
    </w:p>
    <w:p w:rsidR="00B27801" w:rsidRPr="00F11798" w:rsidRDefault="00B27801" w:rsidP="00B27801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B27801" w:rsidRDefault="00B27801" w:rsidP="00B2780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F11798">
        <w:rPr>
          <w:sz w:val="24"/>
          <w:szCs w:val="24"/>
        </w:rPr>
        <w:t>.</w:t>
      </w:r>
    </w:p>
    <w:p w:rsidR="00B27801" w:rsidRDefault="00B27801" w:rsidP="00DB4877">
      <w:pPr>
        <w:suppressAutoHyphens/>
        <w:ind w:left="709" w:firstLine="11"/>
        <w:jc w:val="both"/>
        <w:rPr>
          <w:sz w:val="24"/>
          <w:szCs w:val="24"/>
        </w:rPr>
        <w:sectPr w:rsidR="00B27801" w:rsidSect="00012FDB">
          <w:headerReference w:type="even" r:id="rId9"/>
          <w:headerReference w:type="default" r:id="rId10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r w:rsidRPr="005F383E">
              <w:rPr>
                <w:sz w:val="24"/>
                <w:szCs w:val="24"/>
              </w:rPr>
              <w:t>kW/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r w:rsidRPr="005F383E">
              <w:rPr>
                <w:sz w:val="24"/>
                <w:szCs w:val="24"/>
              </w:rPr>
              <w:t xml:space="preserve">kW/Z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411B77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1B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1B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1B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9688E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411B77" w:rsidP="00411B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3592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383592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</w:t>
            </w:r>
            <w:r>
              <w:rPr>
                <w:sz w:val="24"/>
                <w:szCs w:val="24"/>
              </w:rPr>
              <w:lastRenderedPageBreak/>
              <w:t>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ТНС Энерго,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осветительных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Количество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Количество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2.3. = Количество удалённых деревьев (кустарника) удаленных фактически / Количество деревьев (кустарника) </w:t>
            </w:r>
            <w:r>
              <w:rPr>
                <w:sz w:val="24"/>
                <w:szCs w:val="24"/>
              </w:rPr>
              <w:lastRenderedPageBreak/>
              <w:t>подлежащих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выкошенной территории кладбищ / Площадь территории кладбищ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Количество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3.4. = Площадь кладбищ фактически подвергнутая акарицидной обработке / Площадь кладбищ запланированная акарицидной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площадь подвергнутая двукратной акарицидной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мусоросборных</w:t>
            </w:r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созданных мусоросборных площадок фактически  / Количество мусоросборных площадок запланированных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мусоросборных</w:t>
            </w:r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4.2. = Количество фактически закупленных мусоросборных контейнеров / количество запланированных к закупке мусоросборных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мусоросборных площадок и контейнеров / Количество запланированных к обработке </w:t>
            </w:r>
            <w:r w:rsidRPr="000C60D7">
              <w:rPr>
                <w:sz w:val="24"/>
                <w:szCs w:val="24"/>
              </w:rPr>
              <w:t>мусоросборных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</w:t>
            </w:r>
            <w:r>
              <w:rPr>
                <w:sz w:val="24"/>
                <w:szCs w:val="24"/>
              </w:rPr>
              <w:lastRenderedPageBreak/>
              <w:t>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4.4. = Площадь территорий фактически выкошенная </w:t>
            </w:r>
            <w:r>
              <w:rPr>
                <w:sz w:val="24"/>
                <w:szCs w:val="24"/>
              </w:rPr>
              <w:lastRenderedPageBreak/>
              <w:t>/ Площадь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фактически аккредитованная / количество мест массового купания населения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4.6. = Площадь мест массового отдыха населения фактически подвергнутая акарицидной обработке / Площадь мест массового отдыха населения запланированная к акарицидной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4.7. = Площади, фактически подвергнутые удалению борщевика / Площади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4.8. = Количество фактически содержащихся (обслуживаемых) детских игровых площадок / Количество запланированных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спортивных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информационных стендов / Количество запланированных к содержанию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затраченных на материально техническое обеспечение / Сумма денежных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B277F8" w:rsidP="00B277F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836574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836574">
              <w:rPr>
                <w:sz w:val="24"/>
                <w:szCs w:val="24"/>
              </w:rPr>
              <w:t>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0</w:t>
            </w:r>
            <w:r w:rsidR="00836574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 w:rsidR="00565A8F">
              <w:rPr>
                <w:b/>
                <w:sz w:val="22"/>
                <w:szCs w:val="22"/>
              </w:rPr>
              <w:t>17</w:t>
            </w:r>
            <w:r w:rsidR="00836574"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B277F8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36574" w:rsidRPr="00836574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277F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7F8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7F8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77F8" w:rsidRDefault="00B277F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645729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645729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645729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7F8" w:rsidRDefault="00B277F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5071A8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B277F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77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  <w:r w:rsidR="006D0BA1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77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77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565A8F" w:rsidP="00565A8F">
            <w:pPr>
              <w:suppressAutoHyphens/>
              <w:ind w:left="113" w:right="113"/>
              <w:jc w:val="center"/>
            </w:pPr>
            <w:r w:rsidRPr="00D66FC4">
              <w:t>5</w:t>
            </w:r>
            <w:r w:rsidR="00F067CE" w:rsidRPr="00D66FC4">
              <w:t>00</w:t>
            </w:r>
            <w:r w:rsidR="00804C02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38359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0B85">
              <w:rPr>
                <w:sz w:val="24"/>
                <w:szCs w:val="24"/>
              </w:rPr>
              <w:t>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645729" w:rsidP="006457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205</w:t>
            </w:r>
            <w:r w:rsidR="002B48E4" w:rsidRPr="00D66FC4">
              <w:t> </w:t>
            </w:r>
            <w:r>
              <w:t>8</w:t>
            </w:r>
            <w:r w:rsidR="002B48E4"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</w:t>
            </w:r>
            <w:r w:rsidR="006F4565" w:rsidRPr="00D66FC4">
              <w:t>00</w:t>
            </w:r>
            <w:r w:rsidR="009E126A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D67253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126A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307DE7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126A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</w:t>
            </w:r>
            <w:r w:rsidR="00F067CE" w:rsidRPr="00D66FC4">
              <w:t>0</w:t>
            </w:r>
            <w:r w:rsidRPr="00D66FC4">
              <w:t>0</w:t>
            </w:r>
            <w:r w:rsidR="001429F5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383592" w:rsidP="0038359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9700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97008C">
              <w:rPr>
                <w:sz w:val="24"/>
                <w:szCs w:val="24"/>
              </w:rPr>
              <w:t>67,00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0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</w:t>
            </w:r>
            <w:r w:rsidR="0097008C">
              <w:rPr>
                <w:sz w:val="24"/>
                <w:szCs w:val="24"/>
              </w:rPr>
              <w:t>2 407,00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307DE7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2 312 594,00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307DE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07DE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</w:t>
            </w:r>
            <w:r w:rsidR="001429F5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565A8F" w:rsidRPr="00D66FC4">
              <w:t>36</w:t>
            </w:r>
            <w:r w:rsidR="001429F5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B4943" w:rsidP="001B494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429F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D66FC4" w:rsidRDefault="00D66FC4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74594A" w:rsidRPr="00D66FC4"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D66FC4" w:rsidRDefault="00B238C3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</w:t>
            </w:r>
            <w:r w:rsidR="000F2E27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97008C" w:rsidP="000F2E2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0F2E27"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97008C" w:rsidP="000F2E2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0F2E27"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D66FC4" w:rsidRDefault="00B238C3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</w:t>
            </w:r>
            <w:r w:rsidR="00F067CE" w:rsidRPr="00D66FC4">
              <w:t>5</w:t>
            </w:r>
            <w:r w:rsidR="00565A8F" w:rsidRPr="00D66FC4">
              <w:t>0</w:t>
            </w:r>
            <w:r w:rsidR="00E6534D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D66FC4" w:rsidRPr="00D66FC4">
              <w:t>0</w:t>
            </w:r>
            <w:r w:rsidRPr="00D66FC4">
              <w:t>0</w:t>
            </w:r>
            <w:r w:rsidR="008C239B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B238C3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38C3" w:rsidRPr="00D66FC4" w:rsidRDefault="00383592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 xml:space="preserve">1 </w:t>
            </w:r>
            <w:r w:rsidR="00B238C3"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1B4943" w:rsidP="001B494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238C3">
              <w:rPr>
                <w:sz w:val="24"/>
                <w:szCs w:val="24"/>
              </w:rPr>
              <w:t>0 </w:t>
            </w:r>
            <w:r>
              <w:rPr>
                <w:sz w:val="24"/>
                <w:szCs w:val="24"/>
              </w:rPr>
              <w:t>2</w:t>
            </w:r>
            <w:r w:rsidR="00B238C3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D66FC4" w:rsidRDefault="00E91A8C" w:rsidP="00E91A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9700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42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9700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42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A8C" w:rsidRPr="003E59F1" w:rsidTr="001A4E13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1A8C" w:rsidRPr="00D66FC4" w:rsidRDefault="00E91A8C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FDB" w:rsidTr="001A4E13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F47482" w:rsidP="006457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35BA">
              <w:rPr>
                <w:b/>
                <w:sz w:val="24"/>
                <w:szCs w:val="24"/>
              </w:rPr>
              <w:t xml:space="preserve"> </w:t>
            </w:r>
            <w:r w:rsidR="00645729">
              <w:rPr>
                <w:b/>
                <w:sz w:val="24"/>
                <w:szCs w:val="24"/>
              </w:rPr>
              <w:t>150</w:t>
            </w:r>
            <w:r w:rsidR="006A086C">
              <w:rPr>
                <w:b/>
                <w:sz w:val="24"/>
                <w:szCs w:val="24"/>
              </w:rPr>
              <w:t> </w:t>
            </w:r>
            <w:r w:rsidR="00645729">
              <w:rPr>
                <w:b/>
                <w:sz w:val="24"/>
                <w:szCs w:val="24"/>
              </w:rPr>
              <w:t>2</w:t>
            </w:r>
            <w:r w:rsidR="00D66FC4">
              <w:rPr>
                <w:b/>
                <w:sz w:val="24"/>
                <w:szCs w:val="24"/>
              </w:rPr>
              <w:t>7</w:t>
            </w:r>
            <w:r w:rsidR="00565A8F">
              <w:rPr>
                <w:b/>
                <w:sz w:val="24"/>
                <w:szCs w:val="24"/>
              </w:rPr>
              <w:t>5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AC0B85" w:rsidP="00AC0B8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1 475</w:t>
            </w:r>
            <w:r w:rsidR="0097008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97008C">
              <w:rPr>
                <w:b/>
                <w:sz w:val="24"/>
                <w:szCs w:val="24"/>
              </w:rPr>
              <w:t>67,00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3 979 407,00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3 829 594,00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1A4E1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F02664" w:rsidRDefault="001A4E13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Благоустройство</w:t>
            </w:r>
            <w:r w:rsidRPr="001D558E">
              <w:rPr>
                <w:b/>
                <w:sz w:val="24"/>
                <w:szCs w:val="24"/>
              </w:rPr>
              <w:t xml:space="preserve"> </w:t>
            </w:r>
            <w:r w:rsidR="0097008C">
              <w:rPr>
                <w:b/>
                <w:sz w:val="24"/>
                <w:szCs w:val="24"/>
              </w:rPr>
              <w:t>Участие в ППМИ в</w:t>
            </w:r>
            <w:r w:rsidRPr="001D558E">
              <w:rPr>
                <w:b/>
                <w:sz w:val="24"/>
                <w:szCs w:val="24"/>
              </w:rPr>
              <w:t xml:space="preserve"> 202</w:t>
            </w:r>
            <w:r w:rsidR="0097008C">
              <w:rPr>
                <w:b/>
                <w:sz w:val="24"/>
                <w:szCs w:val="24"/>
              </w:rPr>
              <w:t>2</w:t>
            </w:r>
            <w:r w:rsidRPr="001D558E">
              <w:rPr>
                <w:b/>
                <w:sz w:val="24"/>
                <w:szCs w:val="24"/>
              </w:rPr>
              <w:t xml:space="preserve"> год</w:t>
            </w:r>
            <w:r w:rsidR="0097008C">
              <w:rPr>
                <w:b/>
                <w:sz w:val="24"/>
                <w:szCs w:val="24"/>
              </w:rPr>
              <w:t>у</w:t>
            </w:r>
            <w:r w:rsidRPr="001D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97008C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008C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9700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6D126A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2022 году. Софинансирование из средств местного бюджета.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Default="0097008C" w:rsidP="001A4E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7008C" w:rsidRPr="0033573F" w:rsidRDefault="0097008C" w:rsidP="001A4E1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33573F" w:rsidRDefault="002D3386" w:rsidP="001A4E13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836574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5.1.</w:t>
            </w: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9700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6D126A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2022 году. Софинансирование населения.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4269A6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4269A6" w:rsidRDefault="002D3386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97008C" w:rsidP="0097008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</w:t>
            </w:r>
            <w:r w:rsidR="001A4E13" w:rsidRPr="002B0143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836574" w:rsidRDefault="0097008C" w:rsidP="001A4E13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  <w:tr w:rsidR="002D3386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386" w:rsidRDefault="002D3386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386" w:rsidRPr="00AE64AC" w:rsidRDefault="00AE64A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E64AC">
              <w:rPr>
                <w:sz w:val="24"/>
                <w:szCs w:val="24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386" w:rsidRDefault="002D3386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D3386" w:rsidRDefault="0029688E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3C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00 000</w:t>
            </w:r>
            <w:r w:rsidR="00413CD0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D3386" w:rsidRDefault="002D3386" w:rsidP="001A4E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D3386" w:rsidRDefault="002D3386" w:rsidP="009700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D3386" w:rsidRDefault="002D3386" w:rsidP="001A4E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D3386" w:rsidRDefault="002D3386" w:rsidP="001A4E13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  <w:tr w:rsidR="001A4E13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1A4E1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F02664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F02664" w:rsidRDefault="0029688E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2D3386">
              <w:rPr>
                <w:b/>
                <w:sz w:val="24"/>
                <w:szCs w:val="24"/>
              </w:rPr>
              <w:t>331 660,00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F47482" w:rsidP="006457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238C3">
              <w:rPr>
                <w:b/>
                <w:sz w:val="24"/>
                <w:szCs w:val="24"/>
              </w:rPr>
              <w:t> </w:t>
            </w:r>
            <w:r w:rsidR="00645729">
              <w:rPr>
                <w:b/>
                <w:sz w:val="24"/>
                <w:szCs w:val="24"/>
              </w:rPr>
              <w:t>472</w:t>
            </w:r>
            <w:r w:rsidR="00B238C3">
              <w:rPr>
                <w:b/>
                <w:sz w:val="24"/>
                <w:szCs w:val="24"/>
              </w:rPr>
              <w:t xml:space="preserve"> </w:t>
            </w:r>
            <w:r w:rsidR="00645729">
              <w:rPr>
                <w:b/>
                <w:sz w:val="24"/>
                <w:szCs w:val="24"/>
              </w:rPr>
              <w:t>6</w:t>
            </w:r>
            <w:r w:rsidR="00B238C3">
              <w:rPr>
                <w:b/>
                <w:sz w:val="24"/>
                <w:szCs w:val="24"/>
              </w:rPr>
              <w:t>01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29688E" w:rsidP="002968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D338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279</w:t>
            </w:r>
            <w:r w:rsidR="002D338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2D3386">
              <w:rPr>
                <w:b/>
                <w:sz w:val="24"/>
                <w:szCs w:val="24"/>
              </w:rPr>
              <w:t>53,00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5 151 733,00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5 001 920,00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2D3386" w:rsidP="0029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68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="0029688E">
              <w:rPr>
                <w:b/>
                <w:sz w:val="24"/>
                <w:szCs w:val="24"/>
              </w:rPr>
              <w:t>55</w:t>
            </w:r>
            <w:r>
              <w:rPr>
                <w:b/>
                <w:sz w:val="24"/>
                <w:szCs w:val="24"/>
              </w:rPr>
              <w:t>7 </w:t>
            </w:r>
            <w:r w:rsidR="0029688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AE" w:rsidRDefault="00BA47AE">
      <w:r>
        <w:separator/>
      </w:r>
    </w:p>
  </w:endnote>
  <w:endnote w:type="continuationSeparator" w:id="0">
    <w:p w:rsidR="00BA47AE" w:rsidRDefault="00BA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AE" w:rsidRDefault="00BA47AE">
      <w:r>
        <w:separator/>
      </w:r>
    </w:p>
  </w:footnote>
  <w:footnote w:type="continuationSeparator" w:id="0">
    <w:p w:rsidR="00BA47AE" w:rsidRDefault="00BA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85" w:rsidRDefault="00AC0B8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C0B85" w:rsidRDefault="00AC0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85" w:rsidRDefault="00AC0B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24B">
      <w:rPr>
        <w:noProof/>
      </w:rPr>
      <w:t>2</w:t>
    </w:r>
    <w:r>
      <w:rPr>
        <w:noProof/>
      </w:rPr>
      <w:fldChar w:fldCharType="end"/>
    </w:r>
  </w:p>
  <w:p w:rsidR="00AC0B85" w:rsidRDefault="00AC0B85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20"/>
  </w:num>
  <w:num w:numId="11">
    <w:abstractNumId w:val="15"/>
  </w:num>
  <w:num w:numId="12">
    <w:abstractNumId w:val="9"/>
  </w:num>
  <w:num w:numId="13">
    <w:abstractNumId w:val="23"/>
  </w:num>
  <w:num w:numId="14">
    <w:abstractNumId w:val="14"/>
  </w:num>
  <w:num w:numId="15">
    <w:abstractNumId w:val="18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1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A0F2A"/>
    <w:rsid w:val="001A4E13"/>
    <w:rsid w:val="001B0471"/>
    <w:rsid w:val="001B195A"/>
    <w:rsid w:val="001B3384"/>
    <w:rsid w:val="001B3D75"/>
    <w:rsid w:val="001B46A5"/>
    <w:rsid w:val="001B4943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688E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09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07DE7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592"/>
    <w:rsid w:val="00383E7A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1B9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4B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1248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3643"/>
    <w:rsid w:val="00863E19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008C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0B85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47AE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B7D87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1FCD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20D0C-AD7A-47BC-8D4F-1C15285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3E76-EFE5-4BB2-9C92-541A9C42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40768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Алёна Викторовна</cp:lastModifiedBy>
  <cp:revision>2</cp:revision>
  <cp:lastPrinted>2022-04-05T06:09:00Z</cp:lastPrinted>
  <dcterms:created xsi:type="dcterms:W3CDTF">2022-04-11T07:15:00Z</dcterms:created>
  <dcterms:modified xsi:type="dcterms:W3CDTF">2022-04-11T07:15:00Z</dcterms:modified>
</cp:coreProperties>
</file>