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77180A" w:rsidRDefault="0077180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188</w:t>
      </w:r>
    </w:p>
    <w:p w:rsidR="00F660ED" w:rsidRDefault="00F660E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241</w:t>
      </w:r>
    </w:p>
    <w:p w:rsidR="00AB3FCF" w:rsidRPr="007E7488" w:rsidRDefault="00AB3FCF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25.11.2021 № 279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1 471 600,00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3 431 600,00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3 458 800,00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1 498 800,00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1 498 800,00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49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52494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52494B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6 861 000,00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6328EF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3C9">
              <w:rPr>
                <w:sz w:val="24"/>
                <w:szCs w:val="24"/>
              </w:rPr>
              <w:t>8</w:t>
            </w:r>
            <w:r w:rsidR="007977D3">
              <w:rPr>
                <w:sz w:val="24"/>
                <w:szCs w:val="24"/>
              </w:rPr>
              <w:t> </w:t>
            </w:r>
            <w:r w:rsidR="001A43C9"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>0</w:t>
            </w:r>
            <w:r w:rsidR="001A43C9">
              <w:rPr>
                <w:sz w:val="24"/>
                <w:szCs w:val="24"/>
              </w:rPr>
              <w:t>6</w:t>
            </w:r>
            <w:r w:rsidR="007977D3">
              <w:rPr>
                <w:sz w:val="24"/>
                <w:szCs w:val="24"/>
              </w:rPr>
              <w:t xml:space="preserve"> 9</w:t>
            </w:r>
            <w:r w:rsidR="001A43C9">
              <w:rPr>
                <w:sz w:val="24"/>
                <w:szCs w:val="24"/>
              </w:rPr>
              <w:t>30</w:t>
            </w:r>
            <w:r w:rsidR="0052494B"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погодно-климатические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дорожно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4E6FDF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</w:tbl>
    <w:p w:rsidR="00CB0775" w:rsidRDefault="00CB0775"/>
    <w:p w:rsidR="00406EB1" w:rsidRDefault="00406EB1"/>
    <w:p w:rsidR="00406EB1" w:rsidRDefault="00406EB1"/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A479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A479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3A479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2" w:name="Par418"/>
      <w:bookmarkEnd w:id="2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AB3FCF" w:rsidRDefault="00AB3FCF" w:rsidP="00AB3FCF">
      <w:pPr>
        <w:pStyle w:val="af2"/>
        <w:numPr>
          <w:ilvl w:val="1"/>
          <w:numId w:val="14"/>
        </w:numPr>
        <w:suppressAutoHyphens/>
        <w:jc w:val="both"/>
      </w:pPr>
      <w:r>
        <w:t>Мероприятие 3.</w:t>
      </w:r>
    </w:p>
    <w:p w:rsidR="00AB3FCF" w:rsidRDefault="00AB3FCF" w:rsidP="00AB3FCF">
      <w:pPr>
        <w:pStyle w:val="af2"/>
        <w:suppressAutoHyphens/>
        <w:ind w:left="720"/>
        <w:jc w:val="both"/>
      </w:pPr>
      <w:r>
        <w:t xml:space="preserve">       </w:t>
      </w:r>
      <w:r w:rsidRPr="002507F9">
        <w:t xml:space="preserve">«Ремонт автомобильных дорог общего пользования местного значения в </w:t>
      </w:r>
      <w:r>
        <w:t xml:space="preserve">                                            </w:t>
      </w:r>
    </w:p>
    <w:p w:rsidR="00AB3FCF" w:rsidRDefault="00AB3FCF" w:rsidP="00AB3FCF">
      <w:pPr>
        <w:pStyle w:val="af2"/>
        <w:suppressAutoHyphens/>
        <w:jc w:val="both"/>
      </w:pPr>
      <w:r>
        <w:t xml:space="preserve">                    </w:t>
      </w:r>
      <w:r w:rsidRPr="002507F9">
        <w:t xml:space="preserve">границах населённых пунктов </w:t>
      </w:r>
      <w:r>
        <w:t xml:space="preserve">Рощинского сельского поселения, на 2021-2025                     </w:t>
      </w:r>
    </w:p>
    <w:p w:rsidR="00AB3FCF" w:rsidRDefault="00AB3FCF" w:rsidP="00AB3FCF">
      <w:pPr>
        <w:pStyle w:val="af2"/>
        <w:suppressAutoHyphens/>
        <w:jc w:val="both"/>
      </w:pPr>
      <w:r>
        <w:t xml:space="preserve">                    годы» Составление проектно-сметной документации на капитальный ремонт и      </w:t>
      </w:r>
    </w:p>
    <w:p w:rsidR="00AB3FCF" w:rsidRDefault="00AB3FCF" w:rsidP="00AB3FCF">
      <w:pPr>
        <w:pStyle w:val="af2"/>
        <w:suppressAutoHyphens/>
        <w:jc w:val="both"/>
      </w:pPr>
      <w:r>
        <w:t xml:space="preserve">                    выполнение работ по инженерным изысканиям для подготовки проектно-    </w:t>
      </w:r>
    </w:p>
    <w:p w:rsidR="00AB3FCF" w:rsidRPr="005B03D7" w:rsidRDefault="00AB3FCF" w:rsidP="00AB3FCF">
      <w:pPr>
        <w:pStyle w:val="af2"/>
        <w:suppressAutoHyphens/>
        <w:jc w:val="both"/>
      </w:pPr>
      <w:r>
        <w:t xml:space="preserve">                    сметной документации.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8C4FD0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180A">
              <w:rPr>
                <w:sz w:val="24"/>
                <w:szCs w:val="24"/>
              </w:rPr>
              <w:t> </w:t>
            </w:r>
            <w:r w:rsidR="00843B1C">
              <w:rPr>
                <w:sz w:val="24"/>
                <w:szCs w:val="24"/>
              </w:rPr>
              <w:t>6</w:t>
            </w:r>
            <w:r w:rsidR="0077180A">
              <w:rPr>
                <w:sz w:val="24"/>
                <w:szCs w:val="24"/>
              </w:rPr>
              <w:t>24 896</w:t>
            </w:r>
            <w:r w:rsidR="002507F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77180A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843B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65 896,00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(Проезжая часть проезда в 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Терехово, участок проезжей части ул.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Озерная 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3FCF" w:rsidP="00AB3F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75</w:t>
            </w:r>
            <w:r w:rsidR="00F83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77180A" w:rsidP="00AB3F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FCF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="00AB3F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AB3F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843B1C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03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728</w:t>
            </w:r>
            <w:r w:rsidR="00F83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3C0308">
              <w:rPr>
                <w:sz w:val="24"/>
                <w:szCs w:val="24"/>
              </w:rPr>
              <w:t>8</w:t>
            </w:r>
            <w:r w:rsidR="0077180A">
              <w:rPr>
                <w:sz w:val="24"/>
                <w:szCs w:val="24"/>
              </w:rPr>
              <w:t>1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AB3FCF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участка проезжей части ул.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Светлая 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Бороды, проезжая часть ул.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Придорожная 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AB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Бороды)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AB3F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FCF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="00AB3F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99,00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</w:t>
            </w:r>
            <w:r w:rsidR="00843B1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7 </w:t>
            </w:r>
            <w:r w:rsidR="00843B1C"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9</w:t>
            </w:r>
            <w:r w:rsidR="00843B1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</w:t>
            </w:r>
            <w:r w:rsidR="00843B1C">
              <w:rPr>
                <w:sz w:val="24"/>
                <w:szCs w:val="24"/>
              </w:rPr>
              <w:t>9</w:t>
            </w:r>
            <w:r w:rsidR="007718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AB3FCF" w:rsidRPr="002D53DB" w:rsidTr="00AB3FCF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FCF" w:rsidRPr="002D53DB" w:rsidRDefault="00AB3FCF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3FCF" w:rsidRDefault="00AB3FCF" w:rsidP="00AB3F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AB3FCF" w:rsidRDefault="00AB3FCF" w:rsidP="00AB3F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(ул. Луговая, Новгородская, Западная, Центральная в д. Ящерово)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3FCF" w:rsidRDefault="00AB3FCF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900 000,00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3FCF" w:rsidRDefault="00AB3FCF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3FCF" w:rsidRDefault="00AB3F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3FCF" w:rsidRDefault="00AB3F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3FCF" w:rsidRDefault="00AB3FCF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</w:tr>
      <w:tr w:rsidR="00387AA6" w:rsidRPr="002D53DB" w:rsidTr="00AB3FCF">
        <w:trPr>
          <w:trHeight w:val="264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2 410 000,00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378 656,00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940 800,00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1 319 456,00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71 344,00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1 019 200,00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1 090 544,00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2 410 000,00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378 656,00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940 800,00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1 319 456,00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71 344,00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1 019 200,00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1 090 544,00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8C4FD0" w:rsidP="00843B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 w:rsidR="00843B1C">
              <w:rPr>
                <w:color w:val="000000"/>
                <w:sz w:val="24"/>
                <w:szCs w:val="24"/>
              </w:rPr>
              <w:t>4</w:t>
            </w:r>
            <w:r w:rsidR="0077180A">
              <w:rPr>
                <w:color w:val="000000"/>
                <w:sz w:val="24"/>
                <w:szCs w:val="24"/>
              </w:rPr>
              <w:t>24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 w:rsidR="0077180A">
              <w:rPr>
                <w:color w:val="000000"/>
                <w:sz w:val="24"/>
                <w:szCs w:val="24"/>
              </w:rPr>
              <w:t>896</w:t>
            </w:r>
            <w:r w:rsidR="00F83AF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6 861 000,000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C0308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B1C">
              <w:rPr>
                <w:sz w:val="24"/>
                <w:szCs w:val="24"/>
              </w:rPr>
              <w:t>2</w:t>
            </w:r>
            <w:r w:rsidR="00524019" w:rsidRPr="00524019">
              <w:rPr>
                <w:sz w:val="24"/>
                <w:szCs w:val="24"/>
              </w:rPr>
              <w:t> </w:t>
            </w:r>
            <w:r w:rsidR="00843B1C">
              <w:rPr>
                <w:sz w:val="24"/>
                <w:szCs w:val="24"/>
              </w:rPr>
              <w:t>2</w:t>
            </w:r>
            <w:r w:rsidR="0077180A">
              <w:rPr>
                <w:sz w:val="24"/>
                <w:szCs w:val="24"/>
              </w:rPr>
              <w:t>85</w:t>
            </w:r>
            <w:r w:rsidR="00524019" w:rsidRPr="00524019"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896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8C4FD0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 w:rsidR="00843B1C">
              <w:rPr>
                <w:color w:val="000000"/>
                <w:sz w:val="24"/>
                <w:szCs w:val="24"/>
              </w:rPr>
              <w:t>13</w:t>
            </w:r>
            <w:r w:rsidR="003C0308">
              <w:rPr>
                <w:color w:val="000000"/>
                <w:sz w:val="24"/>
                <w:szCs w:val="24"/>
              </w:rPr>
              <w:t>2</w:t>
            </w:r>
            <w:r w:rsidR="00F83AF3">
              <w:rPr>
                <w:color w:val="000000"/>
                <w:sz w:val="24"/>
                <w:szCs w:val="24"/>
              </w:rPr>
              <w:t xml:space="preserve"> </w:t>
            </w:r>
            <w:r w:rsidR="00843B1C">
              <w:rPr>
                <w:color w:val="000000"/>
                <w:sz w:val="24"/>
                <w:szCs w:val="24"/>
              </w:rPr>
              <w:t>609</w:t>
            </w:r>
            <w:r w:rsidR="00524019" w:rsidRPr="00524019">
              <w:rPr>
                <w:color w:val="000000"/>
                <w:sz w:val="24"/>
                <w:szCs w:val="24"/>
              </w:rPr>
              <w:t>,</w:t>
            </w:r>
            <w:r w:rsidR="002D32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E55D14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1</w:t>
            </w:r>
            <w:r w:rsidR="00843B1C">
              <w:rPr>
                <w:sz w:val="24"/>
                <w:szCs w:val="24"/>
              </w:rPr>
              <w:t>3</w:t>
            </w:r>
            <w:r w:rsidR="007718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843B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843B1C">
              <w:rPr>
                <w:sz w:val="24"/>
                <w:szCs w:val="24"/>
              </w:rPr>
              <w:t>4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8C4FD0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3AF3">
              <w:rPr>
                <w:sz w:val="24"/>
                <w:szCs w:val="24"/>
              </w:rPr>
              <w:t> </w:t>
            </w:r>
            <w:r w:rsidR="00843B1C">
              <w:rPr>
                <w:sz w:val="24"/>
                <w:szCs w:val="24"/>
              </w:rPr>
              <w:t>267</w:t>
            </w:r>
            <w:r w:rsidR="00F83AF3">
              <w:rPr>
                <w:sz w:val="24"/>
                <w:szCs w:val="24"/>
              </w:rPr>
              <w:t> </w:t>
            </w:r>
            <w:r w:rsidR="00843B1C">
              <w:rPr>
                <w:sz w:val="24"/>
                <w:szCs w:val="24"/>
              </w:rPr>
              <w:t>8</w:t>
            </w:r>
            <w:r w:rsidR="003C0308">
              <w:rPr>
                <w:sz w:val="24"/>
                <w:szCs w:val="24"/>
              </w:rPr>
              <w:t>9</w:t>
            </w:r>
            <w:r w:rsidR="0077180A">
              <w:rPr>
                <w:sz w:val="24"/>
                <w:szCs w:val="24"/>
              </w:rPr>
              <w:t>3</w:t>
            </w:r>
            <w:r w:rsidR="00F83AF3">
              <w:rPr>
                <w:sz w:val="24"/>
                <w:szCs w:val="24"/>
              </w:rPr>
              <w:t>,00</w:t>
            </w:r>
          </w:p>
        </w:tc>
      </w:tr>
      <w:tr w:rsidR="00843B1C" w:rsidRPr="002D53DB" w:rsidTr="00D93564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843B1C" w:rsidRPr="002D53DB" w:rsidRDefault="00843B1C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3B1C" w:rsidRDefault="00843B1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B1C" w:rsidRDefault="00843B1C" w:rsidP="007718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392 287,00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B1C" w:rsidRDefault="00843B1C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4 725 716,00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3B1C" w:rsidRDefault="00843B1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B1C" w:rsidRDefault="00843B1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843B1C" w:rsidRDefault="00843B1C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5 118 003,00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843B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843B1C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843B1C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843B1C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осенне -</w:t>
      </w:r>
      <w:r w:rsidR="00DB534E">
        <w:t xml:space="preserve"> </w:t>
      </w:r>
      <w:r w:rsidRPr="00D93564">
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8F70B8" w:rsidP="00DB5EE9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843B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843B1C">
              <w:rPr>
                <w:color w:val="000000"/>
                <w:sz w:val="24"/>
                <w:szCs w:val="24"/>
              </w:rPr>
              <w:t>4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 w:rsidR="0077180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843B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843B1C">
              <w:rPr>
                <w:color w:val="000000"/>
                <w:sz w:val="24"/>
                <w:szCs w:val="24"/>
              </w:rPr>
              <w:t>4</w:t>
            </w:r>
            <w:r w:rsidR="00F660ED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F660ED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C4FD0">
              <w:rPr>
                <w:color w:val="000000"/>
                <w:sz w:val="24"/>
                <w:szCs w:val="24"/>
              </w:rPr>
              <w:t>9</w:t>
            </w:r>
            <w:r w:rsidR="00E55D14">
              <w:rPr>
                <w:color w:val="000000"/>
                <w:sz w:val="24"/>
                <w:szCs w:val="24"/>
              </w:rPr>
              <w:t>0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E55D14">
              <w:rPr>
                <w:color w:val="000000"/>
                <w:sz w:val="24"/>
                <w:szCs w:val="24"/>
              </w:rPr>
              <w:t>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F660ED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C4FD0">
              <w:rPr>
                <w:color w:val="000000"/>
                <w:sz w:val="24"/>
                <w:szCs w:val="24"/>
              </w:rPr>
              <w:t>9</w:t>
            </w:r>
            <w:r w:rsidR="00E55D14">
              <w:rPr>
                <w:color w:val="000000"/>
                <w:sz w:val="24"/>
                <w:szCs w:val="24"/>
              </w:rPr>
              <w:t>0 000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43B1C" w:rsidP="00843B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180A">
              <w:rPr>
                <w:color w:val="000000"/>
                <w:sz w:val="24"/>
                <w:szCs w:val="24"/>
              </w:rPr>
              <w:t>13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43B1C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180A">
              <w:rPr>
                <w:color w:val="000000"/>
                <w:sz w:val="24"/>
                <w:szCs w:val="24"/>
              </w:rPr>
              <w:t>13</w:t>
            </w:r>
            <w:r w:rsidR="00E55D14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807 850,00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807 850,00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565 495,00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565 495,00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992 550,00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992 550,00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694 785,00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694 785,00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BC108A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8C4FD0" w:rsidP="00CF07A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CF07A2">
              <w:rPr>
                <w:color w:val="000000"/>
                <w:sz w:val="24"/>
                <w:szCs w:val="24"/>
              </w:rPr>
              <w:t>2</w:t>
            </w:r>
            <w:r w:rsidR="00F660ED">
              <w:rPr>
                <w:color w:val="000000"/>
                <w:sz w:val="24"/>
                <w:szCs w:val="24"/>
              </w:rPr>
              <w:t>8</w:t>
            </w:r>
            <w:r w:rsidR="007718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534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8C4FD0" w:rsidP="00CF07A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CF07A2">
              <w:rPr>
                <w:color w:val="000000"/>
                <w:sz w:val="24"/>
                <w:szCs w:val="24"/>
              </w:rPr>
              <w:t>2</w:t>
            </w:r>
            <w:r w:rsidR="00F660ED">
              <w:rPr>
                <w:color w:val="000000"/>
                <w:sz w:val="24"/>
                <w:szCs w:val="24"/>
              </w:rPr>
              <w:t>8</w:t>
            </w:r>
            <w:r w:rsidR="007718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</w:t>
            </w:r>
            <w:r w:rsidR="000525A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3</w:t>
            </w:r>
            <w:r w:rsidR="000525A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C108A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3545AA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8 450,00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FB0D8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8C4FD0">
              <w:rPr>
                <w:color w:val="000000"/>
                <w:sz w:val="24"/>
                <w:szCs w:val="24"/>
              </w:rPr>
              <w:t>5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 w:rsidR="00E55D14">
              <w:rPr>
                <w:color w:val="000000"/>
                <w:sz w:val="24"/>
                <w:szCs w:val="24"/>
              </w:rPr>
              <w:t>8 450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3545AA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8 450,00</w:t>
            </w:r>
          </w:p>
        </w:tc>
      </w:tr>
      <w:tr w:rsidR="00BC108A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3545AA" w:rsidP="00FB0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2 121 921,00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843B1C" w:rsidP="00843B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C108A" w:rsidRPr="00BC10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="0077180A">
              <w:rPr>
                <w:color w:val="000000"/>
                <w:sz w:val="24"/>
                <w:szCs w:val="24"/>
              </w:rPr>
              <w:t>78</w:t>
            </w:r>
            <w:r w:rsidR="00BC108A" w:rsidRPr="00BC108A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084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843B1C" w:rsidP="00843B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545A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</w:t>
            </w:r>
            <w:r w:rsidR="0077180A">
              <w:rPr>
                <w:color w:val="000000"/>
                <w:sz w:val="24"/>
                <w:szCs w:val="24"/>
              </w:rPr>
              <w:t>78</w:t>
            </w:r>
            <w:r w:rsidR="003545AA">
              <w:rPr>
                <w:color w:val="000000"/>
                <w:sz w:val="24"/>
                <w:szCs w:val="24"/>
              </w:rPr>
              <w:t> </w:t>
            </w:r>
            <w:r w:rsidR="0077180A">
              <w:rPr>
                <w:color w:val="000000"/>
                <w:sz w:val="24"/>
                <w:szCs w:val="24"/>
              </w:rPr>
              <w:t>084</w:t>
            </w:r>
            <w:r w:rsidR="003545AA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Default="00DA7514" w:rsidP="00DB5EE9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13 750,00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13 750,00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16 250,00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16 250,00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15 250,00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15 250,00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44 500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44 500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2021-2023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F660E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5AA">
              <w:rPr>
                <w:sz w:val="24"/>
                <w:szCs w:val="24"/>
              </w:rPr>
              <w:t>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F660ED" w:rsidP="00F6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5AA"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40 000,00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40 000,00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F660E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F660ED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lastRenderedPageBreak/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эффективности использования материальных и финансовых средств </w:t>
      </w:r>
      <w:r w:rsidR="00CB0775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8"/>
          <w:headerReference w:type="default" r:id="rId9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r w:rsidRPr="00227BF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реализованных (технически исполненных)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Протяжённость   нанесенной  и восстановленной (отремонтированной) горизонтальной дорожной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дорог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Площадь дорог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Площадь дорог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обследованных дорог / площадь дорог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запланированных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реализованных (технически исполненных) схем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реализации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искусственных дорожных неровностей / количество запланированных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дорожных знаков / количество запланированных к установке дорожных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дорожных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Протяжённость   нанесенной  и восстановленной (отремонтированной) горизонтальной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нанесённой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информационно-агитационной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фактически паспортизированный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дорог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поселения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DA1BF0" w:rsidRDefault="00821A12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2 728 981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1 319 456,00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1 319 456,00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CF07A2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7A2" w:rsidRPr="006D126A" w:rsidRDefault="00CF07A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7A2" w:rsidRPr="00DA1BF0" w:rsidRDefault="00CF07A2" w:rsidP="00CF07A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2.</w:t>
            </w:r>
          </w:p>
          <w:p w:rsidR="00CF07A2" w:rsidRPr="00DA1BF0" w:rsidRDefault="00CF07A2" w:rsidP="00CF07A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F07A2" w:rsidRDefault="00821A1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2 936 915,00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F07A2" w:rsidRDefault="00821A1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1 090 544,00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F07A2" w:rsidRDefault="00821A1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1 090 544,00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F07A2" w:rsidRPr="00DA1BF0" w:rsidRDefault="00821A12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F07A2" w:rsidRPr="00DA1BF0" w:rsidRDefault="00821A12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7A2" w:rsidRDefault="00821A12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CF07A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</w:t>
            </w:r>
            <w:r w:rsidR="00CF07A2">
              <w:rPr>
                <w:sz w:val="24"/>
                <w:szCs w:val="24"/>
              </w:rPr>
              <w:t>3</w:t>
            </w:r>
            <w:r w:rsidRPr="006D126A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 Мероприятие </w:t>
            </w:r>
            <w:r w:rsidR="00CF07A2">
              <w:rPr>
                <w:sz w:val="24"/>
                <w:szCs w:val="24"/>
              </w:rPr>
              <w:t>3</w:t>
            </w:r>
            <w:r w:rsidRPr="00DA1BF0">
              <w:rPr>
                <w:sz w:val="24"/>
                <w:szCs w:val="24"/>
              </w:rPr>
              <w:t>.</w:t>
            </w:r>
          </w:p>
          <w:p w:rsidR="00836574" w:rsidRPr="004269A6" w:rsidRDefault="00DA1BF0" w:rsidP="00CF07A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</w:t>
            </w:r>
            <w:r w:rsidR="00CF07A2">
              <w:rPr>
                <w:sz w:val="24"/>
                <w:szCs w:val="24"/>
              </w:rPr>
              <w:t>, расположенных</w:t>
            </w:r>
            <w:r w:rsidRPr="00DA1BF0">
              <w:rPr>
                <w:sz w:val="24"/>
                <w:szCs w:val="24"/>
              </w:rPr>
              <w:t xml:space="preserve"> в границах населённых пунктов</w:t>
            </w:r>
            <w:r w:rsidR="00CF07A2">
              <w:rPr>
                <w:sz w:val="24"/>
                <w:szCs w:val="24"/>
              </w:rPr>
              <w:t xml:space="preserve"> Рощинского сельского поселения,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CF07A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900 000,00</w:t>
            </w:r>
          </w:p>
          <w:p w:rsidR="00836574" w:rsidRPr="00DA1BF0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CF07A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CF07A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821A1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21A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3545AA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 w:rsidR="00821A12">
              <w:rPr>
                <w:b/>
                <w:color w:val="000000"/>
                <w:sz w:val="28"/>
                <w:szCs w:val="28"/>
              </w:rPr>
              <w:t>5</w:t>
            </w:r>
            <w:r w:rsidR="000525A3">
              <w:rPr>
                <w:b/>
                <w:color w:val="000000"/>
                <w:sz w:val="28"/>
                <w:szCs w:val="28"/>
              </w:rPr>
              <w:t>65</w:t>
            </w:r>
            <w:r w:rsidR="003C0308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896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2 410 000,00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2 410 000,00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"Содержание в осенне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F660E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FB0D8D">
              <w:rPr>
                <w:color w:val="000000"/>
                <w:sz w:val="24"/>
                <w:szCs w:val="24"/>
              </w:rPr>
              <w:t>0 000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565 495,00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694 785,00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729 085,00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729 085,00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CF07A2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525A3">
              <w:rPr>
                <w:color w:val="000000"/>
                <w:sz w:val="24"/>
                <w:szCs w:val="24"/>
              </w:rPr>
              <w:t>13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0525A3">
              <w:rPr>
                <w:color w:val="000000"/>
                <w:sz w:val="24"/>
                <w:szCs w:val="24"/>
              </w:rPr>
              <w:t>034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242 355,00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297 765,00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CF07A2">
              <w:rPr>
                <w:b/>
                <w:color w:val="000000"/>
                <w:sz w:val="28"/>
                <w:szCs w:val="28"/>
              </w:rPr>
              <w:t>4</w:t>
            </w:r>
            <w:r w:rsidR="00F660ED">
              <w:rPr>
                <w:b/>
                <w:color w:val="000000"/>
                <w:sz w:val="28"/>
                <w:szCs w:val="28"/>
              </w:rPr>
              <w:t>0</w:t>
            </w:r>
            <w:r w:rsidR="000525A3">
              <w:rPr>
                <w:b/>
                <w:color w:val="000000"/>
                <w:sz w:val="28"/>
                <w:szCs w:val="28"/>
              </w:rPr>
              <w:t>3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034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FE">
              <w:rPr>
                <w:b/>
                <w:color w:val="000000"/>
                <w:sz w:val="28"/>
                <w:szCs w:val="28"/>
              </w:rPr>
              <w:t>807 850,00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FE">
              <w:rPr>
                <w:b/>
                <w:color w:val="000000"/>
                <w:sz w:val="28"/>
                <w:szCs w:val="28"/>
              </w:rPr>
              <w:t>992 550,00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1 041 550,00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1 041 550,00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ГИБДД схем организации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E35A60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5130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C5130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130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C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9B0A5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Pr="00E35A60" w:rsidRDefault="009B0A5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A5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5C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9A757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C40AEF"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390696" w:rsidRDefault="0039069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A757D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423FF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F660E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55D14">
              <w:rPr>
                <w:sz w:val="24"/>
                <w:szCs w:val="24"/>
              </w:rPr>
              <w:t>0</w:t>
            </w:r>
            <w:r w:rsidR="003545AA"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764689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F660ED" w:rsidP="00F660ED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545AA"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B0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431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458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3545AA" w:rsidP="0065109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18 206 930,00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94" w:rsidRDefault="003A4794">
      <w:r>
        <w:separator/>
      </w:r>
    </w:p>
  </w:endnote>
  <w:endnote w:type="continuationSeparator" w:id="0">
    <w:p w:rsidR="003A4794" w:rsidRDefault="003A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94" w:rsidRDefault="003A4794">
      <w:r>
        <w:separator/>
      </w:r>
    </w:p>
  </w:footnote>
  <w:footnote w:type="continuationSeparator" w:id="0">
    <w:p w:rsidR="003A4794" w:rsidRDefault="003A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1C" w:rsidRDefault="00843B1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43B1C" w:rsidRDefault="00843B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1C" w:rsidRDefault="00843B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C91">
      <w:rPr>
        <w:noProof/>
      </w:rPr>
      <w:t>6</w:t>
    </w:r>
    <w:r>
      <w:rPr>
        <w:noProof/>
      </w:rPr>
      <w:fldChar w:fldCharType="end"/>
    </w:r>
  </w:p>
  <w:p w:rsidR="00843B1C" w:rsidRDefault="00843B1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331DF"/>
    <w:multiLevelType w:val="multilevel"/>
    <w:tmpl w:val="A950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 w15:restartNumberingAfterBreak="0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410C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338B"/>
    <w:rsid w:val="000C4130"/>
    <w:rsid w:val="000C5B75"/>
    <w:rsid w:val="000C60D7"/>
    <w:rsid w:val="000C6E84"/>
    <w:rsid w:val="000D0524"/>
    <w:rsid w:val="000D0E99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C91"/>
    <w:rsid w:val="001F7943"/>
    <w:rsid w:val="002001D5"/>
    <w:rsid w:val="00201987"/>
    <w:rsid w:val="00202CE1"/>
    <w:rsid w:val="002045B3"/>
    <w:rsid w:val="002063B5"/>
    <w:rsid w:val="00207DF7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136"/>
    <w:rsid w:val="00266A2E"/>
    <w:rsid w:val="002679CF"/>
    <w:rsid w:val="00270111"/>
    <w:rsid w:val="002710DE"/>
    <w:rsid w:val="002721FD"/>
    <w:rsid w:val="00272289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42F9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AD5"/>
    <w:rsid w:val="003A2681"/>
    <w:rsid w:val="003A392A"/>
    <w:rsid w:val="003A4794"/>
    <w:rsid w:val="003A5F37"/>
    <w:rsid w:val="003A7F77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0ED"/>
    <w:rsid w:val="00785359"/>
    <w:rsid w:val="0078578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1A12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3B1C"/>
    <w:rsid w:val="00844643"/>
    <w:rsid w:val="00844688"/>
    <w:rsid w:val="008455F1"/>
    <w:rsid w:val="00846260"/>
    <w:rsid w:val="008469FB"/>
    <w:rsid w:val="00846D04"/>
    <w:rsid w:val="00847391"/>
    <w:rsid w:val="008502C5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66B0"/>
    <w:rsid w:val="008C7AE4"/>
    <w:rsid w:val="008D002A"/>
    <w:rsid w:val="008D0E42"/>
    <w:rsid w:val="008D4E58"/>
    <w:rsid w:val="008E368E"/>
    <w:rsid w:val="008E385C"/>
    <w:rsid w:val="008E5EA9"/>
    <w:rsid w:val="008F16BC"/>
    <w:rsid w:val="008F323E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59A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2E73"/>
    <w:rsid w:val="009B329B"/>
    <w:rsid w:val="009B48D9"/>
    <w:rsid w:val="009B5916"/>
    <w:rsid w:val="009B5AB9"/>
    <w:rsid w:val="009C18D0"/>
    <w:rsid w:val="009C27DB"/>
    <w:rsid w:val="009C2CDB"/>
    <w:rsid w:val="009C45B7"/>
    <w:rsid w:val="009C4ADA"/>
    <w:rsid w:val="009C67CC"/>
    <w:rsid w:val="009C6982"/>
    <w:rsid w:val="009D03D7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646"/>
    <w:rsid w:val="00AA4378"/>
    <w:rsid w:val="00AA5697"/>
    <w:rsid w:val="00AB032A"/>
    <w:rsid w:val="00AB102D"/>
    <w:rsid w:val="00AB2A80"/>
    <w:rsid w:val="00AB3AA0"/>
    <w:rsid w:val="00AB3FCF"/>
    <w:rsid w:val="00AB5BE0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9FC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5EB1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7A2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3564"/>
    <w:rsid w:val="00D938BB"/>
    <w:rsid w:val="00D95E83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59CA"/>
    <w:rsid w:val="00F56D1B"/>
    <w:rsid w:val="00F56DE0"/>
    <w:rsid w:val="00F57709"/>
    <w:rsid w:val="00F578FC"/>
    <w:rsid w:val="00F6063B"/>
    <w:rsid w:val="00F6179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218D6-F0C6-4DC9-8FB6-0F23A5A4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A781-06E9-4F42-BDEC-8F2A455F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35045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2021-11-01T07:49:00Z</cp:lastPrinted>
  <dcterms:created xsi:type="dcterms:W3CDTF">2021-12-06T11:59:00Z</dcterms:created>
  <dcterms:modified xsi:type="dcterms:W3CDTF">2021-12-06T11:59:00Z</dcterms:modified>
</cp:coreProperties>
</file>